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&amp;</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XXXrewrite at end depending upon major findingsXXX</w:t>
      </w:r>
      <w:r>
        <w:t xml:space="preserve"> </w:t>
      </w: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 into new photic regimes. We find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The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w:t>
      </w:r>
      <w:r>
        <w:t xml:space="preserve"> </w:t>
      </w:r>
      <w:r>
        <w:t xml:space="preserve">The maximum growth rate of</w:t>
      </w:r>
      <w:r>
        <w:t xml:space="preserve"> </w:t>
      </w:r>
      <w:r>
        <w:rPr>
          <w:iCs/>
          <w:i/>
        </w:rPr>
        <w:t xml:space="preserve">Synechococcus</w:t>
      </w:r>
      <w:r>
        <w:t xml:space="preserve"> </w:t>
      </w:r>
      <w:r>
        <w:t xml:space="preserve">sp. originating from the Baltic Sea was 4.5 d</w:t>
      </w:r>
      <w:r>
        <w:rPr>
          <w:vertAlign w:val="superscript"/>
        </w:rPr>
        <w:t xml:space="preserve">−1</w:t>
      </w:r>
      <w:r>
        <w:t xml:space="preserve"> </w:t>
      </w:r>
      <w:r>
        <w:t xml:space="preserve">in a 24 h photoperiod, and a peak PAR of 180 µmol photons m</w:t>
      </w:r>
      <w:r>
        <w:rPr>
          <w:vertAlign w:val="superscript"/>
        </w:rPr>
        <w:t xml:space="preserve">−2</w:t>
      </w:r>
      <w:r>
        <w:t xml:space="preserve">s</w:t>
      </w:r>
      <w:r>
        <w:rPr>
          <w:vertAlign w:val="superscript"/>
        </w:rPr>
        <w:t xml:space="preserve">−1</w:t>
      </w:r>
      <w:r>
        <w:t xml:space="preserve">, which is the highest value previously recorded for picocyanobacteria.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During pre-stationary phase this response dampens in the PC-rich strains but persists in the PE-rich strains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in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are shown in Fig. S7 and Table S10 in Supplementary material. We also present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2" w:name="discussion"/>
    <w:p>
      <w:pPr>
        <w:pStyle w:val="Heading1"/>
      </w:pPr>
      <w:r>
        <w:t xml:space="preserve">Discussion</w:t>
      </w:r>
    </w:p>
    <w:bookmarkStart w:id="77" w:name="X3f43e6e86e87a2a9803ec9002f689e43afe2537"/>
    <w:p>
      <w:pPr>
        <w:pStyle w:val="Heading2"/>
      </w:pPr>
      <w:r>
        <w:t xml:space="preserve">Photic regime significance for picocyanobacteria growth and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find that cumulative diel PUR dose largely explains cyanobacterial achieved growth rates, across a matrix of photoperiods and PAR.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photoperiod and peak PAR (Fig. 4-5). Moreover, plots of growth rates vs. cumulative diel PAR, estimated for exponential phase cultures, show similar patterns (Fig. S5-S6).</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through the cumulative diel PUR dose was equivalent to conditions where the light intensity was lower and the photoperiod was longer.</w:t>
      </w:r>
    </w:p>
    <w:p>
      <w:pPr>
        <w:pStyle w:val="BodyText"/>
      </w:pPr>
      <w:r>
        <w:t xml:space="preserve">To the best of our knowledge, in only one study the authors examined the effect of photoperiod on the growth rate of PC-rich</w:t>
      </w:r>
      <w:r>
        <w:t xml:space="preserve"> </w:t>
      </w:r>
      <w:r>
        <w:rPr>
          <w:iCs/>
          <w:i/>
        </w:rPr>
        <w:t xml:space="preserve">Synechococcus</w:t>
      </w:r>
      <w:r>
        <w:t xml:space="preserve"> </w:t>
      </w:r>
      <w:r>
        <w:t xml:space="preserve">PCC 6715</w:t>
      </w:r>
      <w:r>
        <w:t xml:space="preserve"> </w:t>
      </w:r>
      <w:r>
        <w:t xml:space="preserve">(Klepacz-Smółka et al. 2020)</w:t>
      </w:r>
      <w:r>
        <w:t xml:space="preserve">. In these studies, PC-rich picocyanobacteria also showed the fastest specific growth rate in constant illumination, which was 1.92 d</w:t>
      </w:r>
      <w:r>
        <w:rPr>
          <w:vertAlign w:val="superscript"/>
        </w:rPr>
        <w:t xml:space="preserve">−1</w:t>
      </w:r>
      <w:r>
        <w:t xml:space="preserve">. Moreover, growth rates of up to 3.84 d</w:t>
      </w:r>
      <w:r>
        <w:rPr>
          <w:vertAlign w:val="superscript"/>
        </w:rPr>
        <w:t xml:space="preserve">−1</w:t>
      </w:r>
      <w:r>
        <w:t xml:space="preserve"> </w:t>
      </w:r>
      <w:r>
        <w:t xml:space="preserve">have been reported for</w:t>
      </w:r>
      <w:r>
        <w:t xml:space="preserve"> </w:t>
      </w:r>
      <w:r>
        <w:rPr>
          <w:iCs/>
          <w:i/>
        </w:rPr>
        <w:t xml:space="preserve">Synechocystis</w:t>
      </w:r>
      <w:r>
        <w:t xml:space="preserve"> </w:t>
      </w:r>
      <w:r>
        <w:t xml:space="preserve">before</w:t>
      </w:r>
      <w:r>
        <w:t xml:space="preserve"> </w:t>
      </w:r>
      <w:r>
        <w:t xml:space="preserve">(Zavřel et al. 2015; van Alphen et al. 2018)</w:t>
      </w:r>
      <w:r>
        <w:t xml:space="preserve">, however here, we show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is as high as 4.5 d</w:t>
      </w:r>
      <w:r>
        <w:rPr>
          <w:vertAlign w:val="superscript"/>
        </w:rPr>
        <w:t xml:space="preserve">−1</w:t>
      </w:r>
      <w:r>
        <w:t xml:space="preserve"> </w:t>
      </w:r>
      <w:r>
        <w:t xml:space="preserve">(5.04 h doubling time, Fig. 4-5), which is higher than for model species</w:t>
      </w:r>
      <w:r>
        <w:t xml:space="preserve"> </w:t>
      </w:r>
      <w:r>
        <w:rPr>
          <w:iCs/>
          <w:i/>
        </w:rPr>
        <w:t xml:space="preserve">Synechocystis</w:t>
      </w:r>
      <w:r>
        <w:t xml:space="preserve"> </w:t>
      </w:r>
      <w:r>
        <w:t xml:space="preserve">sp. PCC 6803 and the highest noted value previously recorded for picocyanobacteria.</w:t>
      </w:r>
    </w:p>
    <w:p>
      <w:pPr>
        <w:pStyle w:val="BodyText"/>
      </w:pPr>
      <w:r>
        <w:t xml:space="preserve">It is worth noting here that freshwater</w:t>
      </w:r>
      <w:r>
        <w:t xml:space="preserve"> </w:t>
      </w:r>
      <w:r>
        <w:rPr>
          <w:iCs/>
          <w:i/>
        </w:rPr>
        <w:t xml:space="preserve">Synechococcus</w:t>
      </w:r>
      <w:r>
        <w:t xml:space="preserve">-related species may form blooms during winter, when photoperiods are short</w:t>
      </w:r>
      <w:r>
        <w:t xml:space="preserve"> </w:t>
      </w:r>
      <w:r>
        <w:t xml:space="preserve">(Cai et al. 2021)</w:t>
      </w:r>
      <w:r>
        <w:t xml:space="preserve">, but these phenomena seem less applicable to our</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up to and including constant 24-h light.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phytoplankton productivity</w:t>
      </w:r>
      <w:r>
        <w:t xml:space="preserve"> </w:t>
      </w:r>
      <w:r>
        <w:t xml:space="preserve">(Śliwińska-Wilczewska et al. 2018, 2020;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81" w:name="X1241c2656c61de1593f84d8e88b428692a0a61d"/>
    <w:p>
      <w:pPr>
        <w:pStyle w:val="Heading2"/>
      </w:pPr>
      <w:r>
        <w:t xml:space="preserve">Photic regime and growth phase influence picocyanobacteria light-capture</w:t>
      </w:r>
    </w:p>
    <w:bookmarkStart w:id="78" w:name="purpar-ratio"/>
    <w:p>
      <w:pPr>
        <w:pStyle w:val="Heading3"/>
      </w:pPr>
      <w:r>
        <w:t xml:space="preserve">PUR/PAR ratio</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 [CITATION].</w:t>
      </w:r>
    </w:p>
    <w:p>
      <w:pPr>
        <w:pStyle w:val="BodyText"/>
      </w:pPr>
      <w:r>
        <w:t xml:space="preserve">The spatial and temporal distribution of PAR within aquatic ecosystems is influenced by solar angle, water depth, water clarity, and the presence of light-absorbing substances such as dissolved organic matter [CITATION] and phytoplankton cells. PUR, in turn, also depends on the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The PE-rich strains show a much higher PUR/PAR ratio under low cumulative diel photon dose during their exponential phase of growth, but decay towards a plateau close to the PC-rich strains as cumulative diel photon dose increases. PE-rich strains of</w:t>
      </w:r>
      <w:r>
        <w:t xml:space="preserve"> </w:t>
      </w:r>
      <w:r>
        <w:rPr>
          <w:iCs/>
          <w:i/>
        </w:rPr>
        <w:t xml:space="preserve">Synechococcus</w:t>
      </w:r>
      <w:r>
        <w:t xml:space="preserve"> </w:t>
      </w:r>
      <w:r>
        <w:t xml:space="preserve">sp. better exploit available radiation during exponential growth under lower PAR.</w:t>
      </w:r>
    </w:p>
    <w:bookmarkEnd w:id="78"/>
    <w:bookmarkStart w:id="79" w:name="pigment-content"/>
    <w:p>
      <w:pPr>
        <w:pStyle w:val="Heading3"/>
      </w:pPr>
      <w:r>
        <w:t xml:space="preserve">Pigment content</w:t>
      </w:r>
    </w:p>
    <w:p>
      <w:pPr>
        <w:pStyle w:val="FirstParagraph"/>
      </w:pPr>
      <w:r>
        <w:t xml:space="preserve">Light regimes influence the pigment content of algae. Responses in relation to photoperiod and irradiance can vary among the species and for pigments in the same species of algae</w:t>
      </w:r>
      <w:r>
        <w:t xml:space="preserve"> </w:t>
      </w:r>
      <w:r>
        <w:t xml:space="preserve">(Zucchi and Necchi Jr 2001)</w:t>
      </w:r>
      <w:r>
        <w:t xml:space="preserve">. Zucchi and Necchi Jr.</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w:t>
      </w:r>
    </w:p>
    <w:p>
      <w:pPr>
        <w:pStyle w:val="BodyText"/>
      </w:pPr>
      <w:r>
        <w:t xml:space="preserve">XXXXXI DO NOT THINK YOU SHOW THESE FIGURES ANYMORE?? IF SO REFER TO THEMXXXX Temporal variations in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 [CITATION].</w:t>
      </w:r>
    </w:p>
    <w:bookmarkEnd w:id="79"/>
    <w:bookmarkStart w:id="80" w:name="X4e06c326377e3aaaaa00269f851eab6c36192f3"/>
    <w:p>
      <w:pPr>
        <w:pStyle w:val="Heading3"/>
      </w:pPr>
      <w:r>
        <w:t xml:space="preserve">Effective absorption cross section of PSII and cumulative diel PSII electron flux</w:t>
      </w:r>
    </w:p>
    <w:p>
      <w:pPr>
        <w:pStyle w:val="FirstParagraph"/>
      </w:pPr>
      <w:r>
        <w:t xml:space="preserve">The PAR level and growth phases are important factors in the yield of photosynthetic reactions</w:t>
      </w:r>
      <w:r>
        <w:t xml:space="preserve"> </w:t>
      </w:r>
      <w:r>
        <w:t xml:space="preserve">(Jacob-Lopes et al. 2009)</w:t>
      </w:r>
      <w:r>
        <w:t xml:space="preserve">.</w:t>
      </w:r>
    </w:p>
    <w:p>
      <w:pPr>
        <w:pStyle w:val="BodyText"/>
      </w:pPr>
      <w:r>
        <w:t xml:space="preserve">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Our results show the PE-rich strains are stronger light-harvesting competitors however, the PC-rich strains may have lower N-quotients for their light capture system. CITATIONSXXXX</w:t>
      </w:r>
    </w:p>
    <w:p>
      <w:pPr>
        <w:pStyle w:val="BodyText"/>
      </w:pPr>
      <w:r>
        <w:t xml:space="preserve">FIX THIS SYLWIA!</w:t>
      </w:r>
    </w:p>
    <w:bookmarkEnd w:id="80"/>
    <w:bookmarkEnd w:id="81"/>
    <w:bookmarkEnd w:id="82"/>
    <w:bookmarkStart w:id="83"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3"/>
    <w:bookmarkStart w:id="84"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4"/>
    <w:bookmarkStart w:id="85"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5"/>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6">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7">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8">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9">
        <w:r>
          <w:rPr>
            <w:rStyle w:val="Hyperlink"/>
          </w:rPr>
          <w:t xml:space="preserve">https://docs.google.com/spreadsheets/d/1cfyxO1bFSeEMlMnx1vAyuskk3Un_bqkE9-uUSc-jwhE/edit#gid=0</w:t>
        </w:r>
      </w:hyperlink>
    </w:p>
    <w:bookmarkEnd w:id="90"/>
    <w:bookmarkStart w:id="214" w:name="references"/>
    <w:p>
      <w:pPr>
        <w:pStyle w:val="Heading1"/>
      </w:pPr>
      <w:r>
        <w:t xml:space="preserve">References</w:t>
      </w:r>
    </w:p>
    <w:bookmarkStart w:id="213"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1"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1"/>
    <w:bookmarkStart w:id="103"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2">
        <w:r>
          <w:rPr>
            <w:rStyle w:val="Hyperlink"/>
          </w:rPr>
          <w:t xml:space="preserve">10.3389/fmars.2019.00319</w:t>
        </w:r>
      </w:hyperlink>
    </w:p>
    <w:bookmarkEnd w:id="103"/>
    <w:bookmarkStart w:id="104"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4"/>
    <w:bookmarkStart w:id="106"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5">
        <w:r>
          <w:rPr>
            <w:rStyle w:val="Hyperlink"/>
          </w:rPr>
          <w:t xml:space="preserve">10.1007/s10201-020-00649-5</w:t>
        </w:r>
      </w:hyperlink>
    </w:p>
    <w:bookmarkEnd w:id="106"/>
    <w:bookmarkStart w:id="108"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7">
        <w:r>
          <w:rPr>
            <w:rStyle w:val="Hyperlink"/>
          </w:rPr>
          <w:t xml:space="preserve">10.1111/nph.17903</w:t>
        </w:r>
      </w:hyperlink>
    </w:p>
    <w:bookmarkEnd w:id="108"/>
    <w:bookmarkStart w:id="110"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09">
        <w:r>
          <w:rPr>
            <w:rStyle w:val="Hyperlink"/>
          </w:rPr>
          <w:t xml:space="preserve">10.4319/lo.1999.44.1.0052</w:t>
        </w:r>
      </w:hyperlink>
    </w:p>
    <w:bookmarkEnd w:id="110"/>
    <w:bookmarkStart w:id="112"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1">
        <w:r>
          <w:rPr>
            <w:rStyle w:val="Hyperlink"/>
          </w:rPr>
          <w:t xml:space="preserve">10.1186/gb-2008-9-5-r90</w:t>
        </w:r>
      </w:hyperlink>
    </w:p>
    <w:bookmarkEnd w:id="112"/>
    <w:bookmarkStart w:id="113"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3"/>
    <w:bookmarkStart w:id="115"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4">
        <w:r>
          <w:rPr>
            <w:rStyle w:val="Hyperlink"/>
          </w:rPr>
          <w:t xml:space="preserve">10.1093/plankt/6.1.67</w:t>
        </w:r>
      </w:hyperlink>
    </w:p>
    <w:bookmarkEnd w:id="115"/>
    <w:bookmarkStart w:id="116"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6"/>
    <w:bookmarkStart w:id="118"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7">
        <w:r>
          <w:rPr>
            <w:rStyle w:val="Hyperlink"/>
          </w:rPr>
          <w:t xml:space="preserve">10.1126/science.281.5374.237</w:t>
        </w:r>
      </w:hyperlink>
    </w:p>
    <w:bookmarkEnd w:id="118"/>
    <w:bookmarkStart w:id="120"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19">
        <w:r>
          <w:rPr>
            <w:rStyle w:val="Hyperlink"/>
          </w:rPr>
          <w:t xml:space="preserve">10.1017/S0025315406014287</w:t>
        </w:r>
      </w:hyperlink>
    </w:p>
    <w:bookmarkEnd w:id="120"/>
    <w:bookmarkStart w:id="122"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1">
        <w:r>
          <w:rPr>
            <w:rStyle w:val="Hyperlink"/>
          </w:rPr>
          <w:t xml:space="preserve">10.1073/pnas.1307701110</w:t>
        </w:r>
      </w:hyperlink>
    </w:p>
    <w:bookmarkEnd w:id="122"/>
    <w:bookmarkStart w:id="124"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3">
        <w:r>
          <w:rPr>
            <w:rStyle w:val="Hyperlink"/>
          </w:rPr>
          <w:t xml:space="preserve">10.3354/meps052099</w:t>
        </w:r>
      </w:hyperlink>
    </w:p>
    <w:bookmarkEnd w:id="124"/>
    <w:bookmarkStart w:id="126"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5">
        <w:r>
          <w:rPr>
            <w:rStyle w:val="Hyperlink"/>
          </w:rPr>
          <w:t xml:space="preserve">10.1073/pnas.1717069115</w:t>
        </w:r>
      </w:hyperlink>
    </w:p>
    <w:bookmarkEnd w:id="126"/>
    <w:bookmarkStart w:id="128" w:name="Xd7d6b0bcb60aabcb149933a8690177800745aff"/>
    <w:p>
      <w:pPr>
        <w:pStyle w:val="Bibliography"/>
      </w:pPr>
      <w:r>
        <w:t xml:space="preserve">Guillard, R. R. L. 1975.</w:t>
      </w:r>
      <w:r>
        <w:t xml:space="preserve"> </w:t>
      </w:r>
      <w:hyperlink r:id="rId127">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8"/>
    <w:bookmarkStart w:id="12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9"/>
    <w:bookmarkStart w:id="13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0"/>
    <w:bookmarkStart w:id="13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1">
        <w:r>
          <w:rPr>
            <w:rStyle w:val="Hyperlink"/>
          </w:rPr>
          <w:t xml:space="preserve">10.1038/ismej.2008.118</w:t>
        </w:r>
      </w:hyperlink>
    </w:p>
    <w:bookmarkEnd w:id="132"/>
    <w:bookmarkStart w:id="13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3">
        <w:r>
          <w:rPr>
            <w:rStyle w:val="Hyperlink"/>
          </w:rPr>
          <w:t xml:space="preserve">10.5194/bg-8-311-2011</w:t>
        </w:r>
      </w:hyperlink>
    </w:p>
    <w:bookmarkEnd w:id="134"/>
    <w:bookmarkStart w:id="13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5">
        <w:r>
          <w:rPr>
            <w:rStyle w:val="Hyperlink"/>
          </w:rPr>
          <w:t xml:space="preserve">10.1038/s41559-020-01330-x</w:t>
        </w:r>
      </w:hyperlink>
    </w:p>
    <w:bookmarkEnd w:id="136"/>
    <w:bookmarkStart w:id="13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7">
        <w:r>
          <w:rPr>
            <w:rStyle w:val="Hyperlink"/>
          </w:rPr>
          <w:t xml:space="preserve">10.1086/338511</w:t>
        </w:r>
      </w:hyperlink>
    </w:p>
    <w:bookmarkEnd w:id="138"/>
    <w:bookmarkStart w:id="14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9">
        <w:r>
          <w:rPr>
            <w:rStyle w:val="Hyperlink"/>
          </w:rPr>
          <w:t xml:space="preserve">10.1038/nclimate3147</w:t>
        </w:r>
      </w:hyperlink>
    </w:p>
    <w:bookmarkEnd w:id="140"/>
    <w:bookmarkStart w:id="14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1">
        <w:r>
          <w:rPr>
            <w:rStyle w:val="Hyperlink"/>
          </w:rPr>
          <w:t xml:space="preserve">10.1016/j.cep.2008.04.007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6">
        <w:r>
          <w:rPr>
            <w:rStyle w:val="Hyperlink"/>
          </w:rPr>
          <w:t xml:space="preserve">10.1016/j.biortech.2020.123700</w:t>
        </w:r>
      </w:hyperlink>
    </w:p>
    <w:bookmarkEnd w:id="147"/>
    <w:bookmarkStart w:id="149"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8">
        <w:r>
          <w:rPr>
            <w:rStyle w:val="Hyperlink"/>
          </w:rPr>
          <w:t xml:space="preserve">10.1016/S0005-2728(98)00135-2</w:t>
        </w:r>
      </w:hyperlink>
    </w:p>
    <w:bookmarkEnd w:id="149"/>
    <w:bookmarkStart w:id="151" w:name="X0484b3dfebfaa14160c541e1fe2290095bae149"/>
    <w:p>
      <w:pPr>
        <w:pStyle w:val="Bibliography"/>
      </w:pPr>
      <w:r>
        <w:t xml:space="preserve">LaRoche, J., and B. M. Robicheau. 2022.</w:t>
      </w:r>
      <w:r>
        <w:t xml:space="preserve"> </w:t>
      </w:r>
      <w:hyperlink r:id="rId150">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6"/>
    <w:bookmarkStart w:id="158"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7">
        <w:r>
          <w:rPr>
            <w:rStyle w:val="Hyperlink"/>
          </w:rPr>
          <w:t xml:space="preserve">10.1038/s41598-022-07009-6</w:t>
        </w:r>
      </w:hyperlink>
    </w:p>
    <w:bookmarkEnd w:id="158"/>
    <w:bookmarkStart w:id="15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9"/>
    <w:bookmarkStart w:id="161"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0">
        <w:r>
          <w:rPr>
            <w:rStyle w:val="Hyperlink"/>
          </w:rPr>
          <w:t xml:space="preserve">10.1093/jxb/erx137</w:t>
        </w:r>
      </w:hyperlink>
    </w:p>
    <w:bookmarkEnd w:id="161"/>
    <w:bookmarkStart w:id="163"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2">
        <w:r>
          <w:rPr>
            <w:rStyle w:val="Hyperlink"/>
          </w:rPr>
          <w:t xml:space="preserve">10.1016/0146-6291(78)90623-9</w:t>
        </w:r>
      </w:hyperlink>
    </w:p>
    <w:bookmarkEnd w:id="163"/>
    <w:bookmarkStart w:id="165" w:name="ref-ortmannLysogenyLyticViral2002"/>
    <w:p>
      <w:pPr>
        <w:pStyle w:val="Bibliography"/>
      </w:pPr>
      <w:r>
        <w:t xml:space="preserve">Ortmann, A. C., J. E. Lawrence, and C. A. Suttle. 2002.</w:t>
      </w:r>
      <w:r>
        <w:t xml:space="preserve"> </w:t>
      </w:r>
      <w:hyperlink r:id="rId164">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5"/>
    <w:bookmarkStart w:id="167"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6">
        <w:r>
          <w:rPr>
            <w:rStyle w:val="Hyperlink"/>
          </w:rPr>
          <w:t xml:space="preserve">10.1023/A:1005936823310</w:t>
        </w:r>
      </w:hyperlink>
    </w:p>
    <w:bookmarkEnd w:id="167"/>
    <w:bookmarkStart w:id="169"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8">
        <w:r>
          <w:rPr>
            <w:rStyle w:val="Hyperlink"/>
          </w:rPr>
          <w:t xml:space="preserve">10.4319/lom.2012.10.142</w:t>
        </w:r>
      </w:hyperlink>
    </w:p>
    <w:bookmarkEnd w:id="169"/>
    <w:bookmarkStart w:id="170"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0"/>
    <w:bookmarkStart w:id="171"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71"/>
    <w:bookmarkStart w:id="17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2"/>
    <w:bookmarkStart w:id="173" w:name="ref-ryanXtsEXtensibleTime2024"/>
    <w:p>
      <w:pPr>
        <w:pStyle w:val="Bibliography"/>
      </w:pPr>
      <w:r>
        <w:t xml:space="preserve">Ryan, J. A., J. M. Ulrich, R. Bennett, and C. Joy. 2024. Xts:</w:t>
      </w:r>
      <w:r>
        <w:t xml:space="preserve"> </w:t>
      </w:r>
      <w:r>
        <w:t xml:space="preserve">eXtensible Time Series</w:t>
      </w:r>
      <w:r>
        <w:t xml:space="preserve">.</w:t>
      </w:r>
    </w:p>
    <w:bookmarkEnd w:id="173"/>
    <w:bookmarkStart w:id="17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74">
        <w:r>
          <w:rPr>
            <w:rStyle w:val="Hyperlink"/>
          </w:rPr>
          <w:t xml:space="preserve">10.1038/sdata.2017.98</w:t>
        </w:r>
      </w:hyperlink>
    </w:p>
    <w:bookmarkEnd w:id="175"/>
    <w:bookmarkStart w:id="176" w:name="ref-serwayModernPhysics2004"/>
    <w:p>
      <w:pPr>
        <w:pStyle w:val="Bibliography"/>
      </w:pPr>
      <w:r>
        <w:t xml:space="preserve">Serway, R. A., C. J. Moses, and C. A. Moyer. 2004. Modern</w:t>
      </w:r>
      <w:r>
        <w:t xml:space="preserve"> </w:t>
      </w:r>
      <w:r>
        <w:t xml:space="preserve">Physics</w:t>
      </w:r>
      <w:r>
        <w:t xml:space="preserve">, Cengage Learning.</w:t>
      </w:r>
    </w:p>
    <w:bookmarkEnd w:id="176"/>
    <w:bookmarkStart w:id="178"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77">
        <w:r>
          <w:rPr>
            <w:rStyle w:val="Hyperlink"/>
          </w:rPr>
          <w:t xml:space="preserve">10.1371/journal.pone.0001341</w:t>
        </w:r>
      </w:hyperlink>
    </w:p>
    <w:bookmarkEnd w:id="178"/>
    <w:bookmarkStart w:id="180"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9">
        <w:r>
          <w:rPr>
            <w:rStyle w:val="Hyperlink"/>
          </w:rPr>
          <w:t xml:space="preserve">10.1073/pnas.2111300118</w:t>
        </w:r>
      </w:hyperlink>
    </w:p>
    <w:bookmarkEnd w:id="180"/>
    <w:bookmarkStart w:id="182"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81">
        <w:r>
          <w:rPr>
            <w:rStyle w:val="Hyperlink"/>
          </w:rPr>
          <w:t xml:space="preserve">10.5194/bg-15-6257-2018</w:t>
        </w:r>
      </w:hyperlink>
    </w:p>
    <w:bookmarkEnd w:id="182"/>
    <w:bookmarkStart w:id="184"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83">
        <w:r>
          <w:rPr>
            <w:rStyle w:val="Hyperlink"/>
          </w:rPr>
          <w:t xml:space="preserve">10.3390/cells9092030</w:t>
        </w:r>
      </w:hyperlink>
    </w:p>
    <w:bookmarkEnd w:id="184"/>
    <w:bookmarkStart w:id="186"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85">
        <w:r>
          <w:rPr>
            <w:rStyle w:val="Hyperlink"/>
          </w:rPr>
          <w:t xml:space="preserve">DOI: http://dx.doi.org/10.25607/OBP-1791</w:t>
        </w:r>
      </w:hyperlink>
    </w:p>
    <w:bookmarkEnd w:id="186"/>
    <w:bookmarkStart w:id="187"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7"/>
    <w:bookmarkStart w:id="189"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188">
        <w:r>
          <w:rPr>
            <w:rStyle w:val="Hyperlink"/>
          </w:rPr>
          <w:t xml:space="preserve">10.1111/oik.08839</w:t>
        </w:r>
      </w:hyperlink>
    </w:p>
    <w:bookmarkEnd w:id="189"/>
    <w:bookmarkStart w:id="191"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90">
        <w:r>
          <w:rPr>
            <w:rStyle w:val="Hyperlink"/>
          </w:rPr>
          <w:t xml:space="preserve">10.1111/j.1365-2427.2008.02119.x</w:t>
        </w:r>
      </w:hyperlink>
    </w:p>
    <w:bookmarkEnd w:id="191"/>
    <w:bookmarkStart w:id="193" w:name="ref-tortellUserGuideApplication2021"/>
    <w:p>
      <w:pPr>
        <w:pStyle w:val="Bibliography"/>
      </w:pPr>
      <w:r>
        <w:t xml:space="preserve">Tortell, P., D. J. Suggett, and S. W. Group156. 2021.</w:t>
      </w:r>
      <w:r>
        <w:t xml:space="preserve"> </w:t>
      </w:r>
      <w:hyperlink r:id="rId192">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93"/>
    <w:bookmarkStart w:id="195"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194">
        <w:r>
          <w:rPr>
            <w:rStyle w:val="Hyperlink"/>
          </w:rPr>
          <w:t xml:space="preserve">10.1002/biot.201700764</w:t>
        </w:r>
      </w:hyperlink>
    </w:p>
    <w:bookmarkEnd w:id="195"/>
    <w:bookmarkStart w:id="196"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196"/>
    <w:bookmarkStart w:id="198"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97">
        <w:r>
          <w:rPr>
            <w:rStyle w:val="Hyperlink"/>
          </w:rPr>
          <w:t xml:space="preserve">10.1029/1999JC000308</w:t>
        </w:r>
      </w:hyperlink>
    </w:p>
    <w:bookmarkEnd w:id="198"/>
    <w:bookmarkStart w:id="200" w:name="ref-wickhamDataAnalysis2016"/>
    <w:p>
      <w:pPr>
        <w:pStyle w:val="Bibliography"/>
      </w:pPr>
      <w:r>
        <w:t xml:space="preserve">Wickham, H. 2016.</w:t>
      </w:r>
      <w:r>
        <w:t xml:space="preserve"> </w:t>
      </w:r>
      <w:hyperlink r:id="rId199">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00"/>
    <w:bookmarkStart w:id="202"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01">
        <w:r>
          <w:rPr>
            <w:rStyle w:val="Hyperlink"/>
          </w:rPr>
          <w:t xml:space="preserve">10.1002/cyto.a.24508</w:t>
        </w:r>
      </w:hyperlink>
    </w:p>
    <w:bookmarkEnd w:id="202"/>
    <w:bookmarkStart w:id="204"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03">
        <w:r>
          <w:rPr>
            <w:rStyle w:val="Hyperlink"/>
          </w:rPr>
          <w:t xml:space="preserve">10.1016/j.rse.2020.111704</w:t>
        </w:r>
      </w:hyperlink>
    </w:p>
    <w:bookmarkEnd w:id="204"/>
    <w:bookmarkStart w:id="206"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05">
        <w:r>
          <w:rPr>
            <w:rStyle w:val="Hyperlink"/>
          </w:rPr>
          <w:t xml:space="preserve">10.1016/j.bbabio.2017.03.003</w:t>
        </w:r>
      </w:hyperlink>
    </w:p>
    <w:bookmarkEnd w:id="206"/>
    <w:bookmarkStart w:id="208"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07">
        <w:r>
          <w:rPr>
            <w:rStyle w:val="Hyperlink"/>
          </w:rPr>
          <w:t xml:space="preserve">10.3389/fmars.2018.00281</w:t>
        </w:r>
      </w:hyperlink>
    </w:p>
    <w:bookmarkEnd w:id="208"/>
    <w:bookmarkStart w:id="210"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09">
        <w:r>
          <w:rPr>
            <w:rStyle w:val="Hyperlink"/>
          </w:rPr>
          <w:t xml:space="preserve">10.1002/elsc.201300165</w:t>
        </w:r>
      </w:hyperlink>
    </w:p>
    <w:bookmarkEnd w:id="210"/>
    <w:bookmarkStart w:id="212"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11">
        <w:r>
          <w:rPr>
            <w:rStyle w:val="Hyperlink"/>
          </w:rPr>
          <w:t xml:space="preserve">10.1046/j.1440-1835.2001.00230.x</w:t>
        </w:r>
      </w:hyperlink>
    </w:p>
    <w:bookmarkEnd w:id="212"/>
    <w:bookmarkEnd w:id="213"/>
    <w:bookmarkEnd w:id="21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8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194" Target="https://doi.org/10.1002/biot.201700764" TargetMode="External" /><Relationship Type="http://schemas.openxmlformats.org/officeDocument/2006/relationships/hyperlink" Id="rId201" Target="https://doi.org/10.1002/cyto.a.24508" TargetMode="External" /><Relationship Type="http://schemas.openxmlformats.org/officeDocument/2006/relationships/hyperlink" Id="rId209" Target="https://doi.org/10.1002/elsc.201300165" TargetMode="External" /><Relationship Type="http://schemas.openxmlformats.org/officeDocument/2006/relationships/hyperlink" Id="rId127"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99" Target="https://doi.org/10.1007/978-3-319-24277-4_9" TargetMode="External" /><Relationship Type="http://schemas.openxmlformats.org/officeDocument/2006/relationships/hyperlink" Id="rId105" Target="https://doi.org/10.1007/s10201-020-00649-5" TargetMode="External" /><Relationship Type="http://schemas.openxmlformats.org/officeDocument/2006/relationships/hyperlink" Id="rId162"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205" Target="https://doi.org/10.1016/j.bbabio.2017.03.003" TargetMode="External" /><Relationship Type="http://schemas.openxmlformats.org/officeDocument/2006/relationships/hyperlink" Id="rId146" Target="https://doi.org/10.1016/j.biortech.2020.123700" TargetMode="External" /><Relationship Type="http://schemas.openxmlformats.org/officeDocument/2006/relationships/hyperlink" Id="rId141" Target="https://doi.org/10.1016/j.cep.2008.04.007" TargetMode="External" /><Relationship Type="http://schemas.openxmlformats.org/officeDocument/2006/relationships/hyperlink" Id="rId143" Target="https://doi.org/10.1016/j.jphotobiol.2005.10.002" TargetMode="External" /><Relationship Type="http://schemas.openxmlformats.org/officeDocument/2006/relationships/hyperlink" Id="rId203" Target="https://doi.org/10.1016/j.rse.2020.111704" TargetMode="External" /><Relationship Type="http://schemas.openxmlformats.org/officeDocument/2006/relationships/hyperlink" Id="rId119" Target="https://doi.org/10.1017/S0025315406014287" TargetMode="External" /><Relationship Type="http://schemas.openxmlformats.org/officeDocument/2006/relationships/hyperlink" Id="rId166" Target="https://doi.org/10.1023/A:1005936823310" TargetMode="External" /><Relationship Type="http://schemas.openxmlformats.org/officeDocument/2006/relationships/hyperlink" Id="rId197" Target="https://doi.org/10.1029/1999JC000308"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57" Target="https://doi.org/10.1038/s41598-022-07009-6" TargetMode="External" /><Relationship Type="http://schemas.openxmlformats.org/officeDocument/2006/relationships/hyperlink" Id="rId174" Target="https://doi.org/10.1038/sdata.2017.98" TargetMode="External" /><Relationship Type="http://schemas.openxmlformats.org/officeDocument/2006/relationships/hyperlink" Id="rId211" Target="https://doi.org/10.1046/j.1440-1835.2001.00230.x" TargetMode="External" /><Relationship Type="http://schemas.openxmlformats.org/officeDocument/2006/relationships/hyperlink" Id="rId121" Target="https://doi.org/10.1073/pnas.1307701110" TargetMode="External" /><Relationship Type="http://schemas.openxmlformats.org/officeDocument/2006/relationships/hyperlink" Id="rId125" Target="https://doi.org/10.1073/pnas.1717069115" TargetMode="External" /><Relationship Type="http://schemas.openxmlformats.org/officeDocument/2006/relationships/hyperlink" Id="rId179"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60" Target="https://doi.org/10.1093/jxb/erx137" TargetMode="External" /><Relationship Type="http://schemas.openxmlformats.org/officeDocument/2006/relationships/hyperlink" Id="rId114"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0"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88" Target="https://doi.org/10.1111/oik.08839" TargetMode="External" /><Relationship Type="http://schemas.openxmlformats.org/officeDocument/2006/relationships/hyperlink" Id="rId117" Target="https://doi.org/10.1126/science.281.5374.237" TargetMode="External" /><Relationship Type="http://schemas.openxmlformats.org/officeDocument/2006/relationships/hyperlink" Id="rId95" Target="https://doi.org/10.1146/annurev-marine-010213-135103" TargetMode="External" /><Relationship Type="http://schemas.openxmlformats.org/officeDocument/2006/relationships/hyperlink" Id="rId111" Target="https://doi.org/10.1186/gb-2008-9-5-r90" TargetMode="External" /><Relationship Type="http://schemas.openxmlformats.org/officeDocument/2006/relationships/hyperlink" Id="rId177" Target="https://doi.org/10.1371/journal.pone.0001341" TargetMode="External" /><Relationship Type="http://schemas.openxmlformats.org/officeDocument/2006/relationships/hyperlink" Id="rId192" Target="https://doi.org/10.25607/OBP-1084" TargetMode="External" /><Relationship Type="http://schemas.openxmlformats.org/officeDocument/2006/relationships/hyperlink" Id="rId123" Target="https://doi.org/10.3354/meps052099" TargetMode="External" /><Relationship Type="http://schemas.openxmlformats.org/officeDocument/2006/relationships/hyperlink" Id="rId207"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83"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68" Target="https://doi.org/10.4319/lom.2012.10.142" TargetMode="External" /><Relationship Type="http://schemas.openxmlformats.org/officeDocument/2006/relationships/hyperlink" Id="rId181" Target="https://doi.org/10.5194/bg-15-6257-2018" TargetMode="External" /><Relationship Type="http://schemas.openxmlformats.org/officeDocument/2006/relationships/hyperlink" Id="rId133"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4" Target="https://www.jstor.org/stable/24852252" TargetMode="External" /><Relationship Type="http://schemas.openxmlformats.org/officeDocument/2006/relationships/hyperlink" Id="rId164"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8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194" Target="https://doi.org/10.1002/biot.201700764" TargetMode="External" /><Relationship Type="http://schemas.openxmlformats.org/officeDocument/2006/relationships/hyperlink" Id="rId201" Target="https://doi.org/10.1002/cyto.a.24508" TargetMode="External" /><Relationship Type="http://schemas.openxmlformats.org/officeDocument/2006/relationships/hyperlink" Id="rId209" Target="https://doi.org/10.1002/elsc.201300165" TargetMode="External" /><Relationship Type="http://schemas.openxmlformats.org/officeDocument/2006/relationships/hyperlink" Id="rId127"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99" Target="https://doi.org/10.1007/978-3-319-24277-4_9" TargetMode="External" /><Relationship Type="http://schemas.openxmlformats.org/officeDocument/2006/relationships/hyperlink" Id="rId105" Target="https://doi.org/10.1007/s10201-020-00649-5" TargetMode="External" /><Relationship Type="http://schemas.openxmlformats.org/officeDocument/2006/relationships/hyperlink" Id="rId162"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205" Target="https://doi.org/10.1016/j.bbabio.2017.03.003" TargetMode="External" /><Relationship Type="http://schemas.openxmlformats.org/officeDocument/2006/relationships/hyperlink" Id="rId146" Target="https://doi.org/10.1016/j.biortech.2020.123700" TargetMode="External" /><Relationship Type="http://schemas.openxmlformats.org/officeDocument/2006/relationships/hyperlink" Id="rId141" Target="https://doi.org/10.1016/j.cep.2008.04.007" TargetMode="External" /><Relationship Type="http://schemas.openxmlformats.org/officeDocument/2006/relationships/hyperlink" Id="rId143" Target="https://doi.org/10.1016/j.jphotobiol.2005.10.002" TargetMode="External" /><Relationship Type="http://schemas.openxmlformats.org/officeDocument/2006/relationships/hyperlink" Id="rId203" Target="https://doi.org/10.1016/j.rse.2020.111704" TargetMode="External" /><Relationship Type="http://schemas.openxmlformats.org/officeDocument/2006/relationships/hyperlink" Id="rId119" Target="https://doi.org/10.1017/S0025315406014287" TargetMode="External" /><Relationship Type="http://schemas.openxmlformats.org/officeDocument/2006/relationships/hyperlink" Id="rId166" Target="https://doi.org/10.1023/A:1005936823310" TargetMode="External" /><Relationship Type="http://schemas.openxmlformats.org/officeDocument/2006/relationships/hyperlink" Id="rId197" Target="https://doi.org/10.1029/1999JC000308"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57" Target="https://doi.org/10.1038/s41598-022-07009-6" TargetMode="External" /><Relationship Type="http://schemas.openxmlformats.org/officeDocument/2006/relationships/hyperlink" Id="rId174" Target="https://doi.org/10.1038/sdata.2017.98" TargetMode="External" /><Relationship Type="http://schemas.openxmlformats.org/officeDocument/2006/relationships/hyperlink" Id="rId211" Target="https://doi.org/10.1046/j.1440-1835.2001.00230.x" TargetMode="External" /><Relationship Type="http://schemas.openxmlformats.org/officeDocument/2006/relationships/hyperlink" Id="rId121" Target="https://doi.org/10.1073/pnas.1307701110" TargetMode="External" /><Relationship Type="http://schemas.openxmlformats.org/officeDocument/2006/relationships/hyperlink" Id="rId125" Target="https://doi.org/10.1073/pnas.1717069115" TargetMode="External" /><Relationship Type="http://schemas.openxmlformats.org/officeDocument/2006/relationships/hyperlink" Id="rId179"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60" Target="https://doi.org/10.1093/jxb/erx137" TargetMode="External" /><Relationship Type="http://schemas.openxmlformats.org/officeDocument/2006/relationships/hyperlink" Id="rId114"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0"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88" Target="https://doi.org/10.1111/oik.08839" TargetMode="External" /><Relationship Type="http://schemas.openxmlformats.org/officeDocument/2006/relationships/hyperlink" Id="rId117" Target="https://doi.org/10.1126/science.281.5374.237" TargetMode="External" /><Relationship Type="http://schemas.openxmlformats.org/officeDocument/2006/relationships/hyperlink" Id="rId95" Target="https://doi.org/10.1146/annurev-marine-010213-135103" TargetMode="External" /><Relationship Type="http://schemas.openxmlformats.org/officeDocument/2006/relationships/hyperlink" Id="rId111" Target="https://doi.org/10.1186/gb-2008-9-5-r90" TargetMode="External" /><Relationship Type="http://schemas.openxmlformats.org/officeDocument/2006/relationships/hyperlink" Id="rId177" Target="https://doi.org/10.1371/journal.pone.0001341" TargetMode="External" /><Relationship Type="http://schemas.openxmlformats.org/officeDocument/2006/relationships/hyperlink" Id="rId192" Target="https://doi.org/10.25607/OBP-1084" TargetMode="External" /><Relationship Type="http://schemas.openxmlformats.org/officeDocument/2006/relationships/hyperlink" Id="rId123" Target="https://doi.org/10.3354/meps052099" TargetMode="External" /><Relationship Type="http://schemas.openxmlformats.org/officeDocument/2006/relationships/hyperlink" Id="rId207"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83"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68" Target="https://doi.org/10.4319/lom.2012.10.142" TargetMode="External" /><Relationship Type="http://schemas.openxmlformats.org/officeDocument/2006/relationships/hyperlink" Id="rId181" Target="https://doi.org/10.5194/bg-15-6257-2018" TargetMode="External" /><Relationship Type="http://schemas.openxmlformats.org/officeDocument/2006/relationships/hyperlink" Id="rId133"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4" Target="https://www.jstor.org/stable/24852252" TargetMode="External" /><Relationship Type="http://schemas.openxmlformats.org/officeDocument/2006/relationships/hyperlink" Id="rId164"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&amp; photoperiods in phycocyanin and phycoerythrin-rich picocyanobacteria</dc:title>
  <dc:creator>Sylwia Śliwińska-Wilczewska1,2, Marta Konik3,4, Mireille Savoie1, Naaman Omar1, and Douglas A. Campbell1,✉</dc:creator>
  <cp:keywords/>
  <dcterms:created xsi:type="dcterms:W3CDTF">2024-04-20T19:56:28Z</dcterms:created>
  <dcterms:modified xsi:type="dcterms:W3CDTF">2024-04-20T19:56:28Z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